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5940"/>
        <w:gridCol w:w="2158"/>
      </w:tblGrid>
      <w:tr w:rsidR="003A4609" w:rsidRPr="00CF7D1D" w:rsidTr="00F54CD6">
        <w:trPr>
          <w:trHeight w:val="1069"/>
        </w:trPr>
        <w:tc>
          <w:tcPr>
            <w:tcW w:w="2268" w:type="dxa"/>
            <w:shd w:val="clear" w:color="auto" w:fill="F3F3F3"/>
          </w:tcPr>
          <w:p w:rsidR="003A4609" w:rsidRPr="00F54CD6" w:rsidRDefault="003A4609" w:rsidP="00F54CD6">
            <w:pPr>
              <w:spacing w:before="60" w:after="60" w:line="200" w:lineRule="atLeast"/>
              <w:jc w:val="center"/>
              <w:outlineLvl w:val="0"/>
              <w:rPr>
                <w:rFonts w:cs="Arial"/>
                <w:b/>
              </w:rPr>
            </w:pPr>
            <w:r w:rsidRPr="002C0C7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MAPPA Logo Small" style="width:1in;height:47.25pt;visibility:visible">
                  <v:imagedata r:id="rId5" o:title=""/>
                </v:shape>
              </w:pict>
            </w:r>
          </w:p>
        </w:tc>
        <w:tc>
          <w:tcPr>
            <w:tcW w:w="5940" w:type="dxa"/>
            <w:shd w:val="clear" w:color="auto" w:fill="F3F3F3"/>
            <w:vAlign w:val="center"/>
          </w:tcPr>
          <w:p w:rsidR="003A4609" w:rsidRPr="00F54CD6" w:rsidRDefault="003A4609" w:rsidP="00F54CD6">
            <w:pPr>
              <w:spacing w:before="60" w:after="60" w:line="200" w:lineRule="atLeast"/>
              <w:jc w:val="center"/>
              <w:rPr>
                <w:rFonts w:cs="Arial"/>
                <w:b/>
                <w:sz w:val="32"/>
                <w:szCs w:val="32"/>
              </w:rPr>
            </w:pPr>
            <w:r w:rsidRPr="00F54CD6">
              <w:rPr>
                <w:rFonts w:cs="Arial"/>
                <w:b/>
                <w:sz w:val="32"/>
                <w:szCs w:val="32"/>
              </w:rPr>
              <w:t>Notes for completion</w:t>
            </w:r>
          </w:p>
        </w:tc>
        <w:tc>
          <w:tcPr>
            <w:tcW w:w="2158" w:type="dxa"/>
            <w:shd w:val="clear" w:color="auto" w:fill="F3F3F3"/>
            <w:vAlign w:val="center"/>
          </w:tcPr>
          <w:p w:rsidR="003A4609" w:rsidRPr="00F54CD6" w:rsidRDefault="003A4609" w:rsidP="00F54CD6">
            <w:pPr>
              <w:spacing w:before="60" w:after="60" w:line="200" w:lineRule="atLeast"/>
              <w:jc w:val="center"/>
              <w:rPr>
                <w:b/>
              </w:rPr>
            </w:pPr>
            <w:r w:rsidRPr="00F54CD6">
              <w:rPr>
                <w:b/>
              </w:rPr>
              <w:t>MAPPA A</w:t>
            </w:r>
          </w:p>
        </w:tc>
      </w:tr>
    </w:tbl>
    <w:p w:rsidR="003A4609" w:rsidRPr="00F54CD6" w:rsidRDefault="003A4609" w:rsidP="00F54CD6">
      <w:pPr>
        <w:rPr>
          <w:vanish/>
        </w:rPr>
      </w:pPr>
    </w:p>
    <w:tbl>
      <w:tblPr>
        <w:tblpPr w:leftFromText="180" w:rightFromText="180" w:vertAnchor="text" w:horzAnchor="margin" w:tblpXSpec="center" w:tblpY="173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52"/>
      </w:tblGrid>
      <w:tr w:rsidR="003A4609">
        <w:trPr>
          <w:trHeight w:val="886"/>
        </w:trPr>
        <w:tc>
          <w:tcPr>
            <w:tcW w:w="10152" w:type="dxa"/>
            <w:shd w:val="clear" w:color="auto" w:fill="C0C0C0"/>
          </w:tcPr>
          <w:p w:rsidR="003A4609" w:rsidRPr="00DD59DB" w:rsidRDefault="003A4609" w:rsidP="00470E2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D59DB">
              <w:rPr>
                <w:sz w:val="22"/>
                <w:szCs w:val="22"/>
              </w:rPr>
              <w:t>The MAPPA Area should be id</w:t>
            </w:r>
            <w:r>
              <w:rPr>
                <w:sz w:val="22"/>
                <w:szCs w:val="22"/>
              </w:rPr>
              <w:t>entified at the top of the form</w:t>
            </w:r>
          </w:p>
          <w:p w:rsidR="003A4609" w:rsidRPr="00DD59DB" w:rsidRDefault="003A4609" w:rsidP="00470E2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D59DB">
              <w:rPr>
                <w:sz w:val="22"/>
                <w:szCs w:val="22"/>
              </w:rPr>
              <w:t>The referrer should identify the Level being referred to (2 or 3)</w:t>
            </w:r>
          </w:p>
          <w:p w:rsidR="003A4609" w:rsidRPr="00DD59DB" w:rsidRDefault="003A4609" w:rsidP="000D162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DD59DB">
              <w:rPr>
                <w:sz w:val="22"/>
                <w:szCs w:val="22"/>
              </w:rPr>
              <w:t xml:space="preserve">agency </w:t>
            </w:r>
            <w:r>
              <w:rPr>
                <w:sz w:val="22"/>
                <w:szCs w:val="22"/>
              </w:rPr>
              <w:t xml:space="preserve">that </w:t>
            </w:r>
            <w:r w:rsidRPr="00DD59DB">
              <w:rPr>
                <w:sz w:val="22"/>
                <w:szCs w:val="22"/>
              </w:rPr>
              <w:t xml:space="preserve">should complete </w:t>
            </w:r>
            <w:r>
              <w:rPr>
                <w:sz w:val="22"/>
                <w:szCs w:val="22"/>
              </w:rPr>
              <w:t>each</w:t>
            </w:r>
            <w:r w:rsidRPr="00DD59DB">
              <w:rPr>
                <w:sz w:val="22"/>
                <w:szCs w:val="22"/>
              </w:rPr>
              <w:t xml:space="preserve"> section is identified on the right hand side of the fi</w:t>
            </w:r>
            <w:r>
              <w:rPr>
                <w:sz w:val="22"/>
                <w:szCs w:val="22"/>
              </w:rPr>
              <w:t>eld</w:t>
            </w:r>
          </w:p>
        </w:tc>
      </w:tr>
    </w:tbl>
    <w:p w:rsidR="003A4609" w:rsidRPr="00FA1EF6" w:rsidRDefault="003A4609">
      <w:pPr>
        <w:rPr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3A4609">
        <w:trPr>
          <w:trHeight w:val="259"/>
        </w:trPr>
        <w:tc>
          <w:tcPr>
            <w:tcW w:w="10080" w:type="dxa"/>
            <w:shd w:val="clear" w:color="auto" w:fill="E6E6E6"/>
          </w:tcPr>
          <w:p w:rsidR="003A4609" w:rsidRPr="00DD59DB" w:rsidRDefault="003A4609" w:rsidP="00DD59DB">
            <w:pPr>
              <w:jc w:val="both"/>
              <w:rPr>
                <w:sz w:val="24"/>
                <w:szCs w:val="24"/>
              </w:rPr>
            </w:pPr>
            <w:r w:rsidRPr="005208BD">
              <w:rPr>
                <w:b/>
                <w:sz w:val="24"/>
                <w:szCs w:val="24"/>
              </w:rPr>
              <w:t>1</w:t>
            </w:r>
            <w:r w:rsidRPr="005208BD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CATEGORY OF OFFENDER</w:t>
            </w:r>
          </w:p>
        </w:tc>
      </w:tr>
      <w:tr w:rsidR="003A4609">
        <w:trPr>
          <w:trHeight w:val="409"/>
        </w:trPr>
        <w:tc>
          <w:tcPr>
            <w:tcW w:w="10080" w:type="dxa"/>
          </w:tcPr>
          <w:p w:rsidR="003A4609" w:rsidRDefault="003A4609" w:rsidP="00AB259F">
            <w:pPr>
              <w:jc w:val="both"/>
              <w:rPr>
                <w:sz w:val="22"/>
                <w:szCs w:val="22"/>
              </w:rPr>
            </w:pPr>
          </w:p>
          <w:p w:rsidR="003A4609" w:rsidRDefault="003A4609" w:rsidP="00AB259F">
            <w:pPr>
              <w:jc w:val="both"/>
              <w:rPr>
                <w:sz w:val="22"/>
                <w:szCs w:val="22"/>
              </w:rPr>
            </w:pPr>
            <w:r w:rsidRPr="00DD59DB">
              <w:rPr>
                <w:sz w:val="22"/>
                <w:szCs w:val="22"/>
              </w:rPr>
              <w:t xml:space="preserve">This section identifies which category brings the offender into MAPPA, and therefore avoids </w:t>
            </w:r>
            <w:r>
              <w:rPr>
                <w:sz w:val="22"/>
                <w:szCs w:val="22"/>
              </w:rPr>
              <w:t>incorrect</w:t>
            </w:r>
            <w:r w:rsidRPr="00DD59DB">
              <w:rPr>
                <w:sz w:val="22"/>
                <w:szCs w:val="22"/>
              </w:rPr>
              <w:t xml:space="preserve"> identification from the outset. The offender can only fall into </w:t>
            </w:r>
            <w:r w:rsidRPr="00231568">
              <w:rPr>
                <w:b/>
                <w:sz w:val="22"/>
                <w:szCs w:val="22"/>
                <w:u w:val="single"/>
              </w:rPr>
              <w:t>one</w:t>
            </w:r>
            <w:r w:rsidRPr="00DD59DB">
              <w:rPr>
                <w:sz w:val="22"/>
                <w:szCs w:val="22"/>
              </w:rPr>
              <w:t xml:space="preserve"> category.</w:t>
            </w:r>
            <w:r>
              <w:rPr>
                <w:sz w:val="22"/>
                <w:szCs w:val="22"/>
              </w:rPr>
              <w:t xml:space="preserve"> If they meet the criteria for more than one category they should be identified as the first category they meet the criteria for. Referrals to Category 3 will not yet be MAPPA offenders but should still be identified as other dangerous offenders until the referral is approved by the Responsible Authority. </w:t>
            </w:r>
          </w:p>
          <w:p w:rsidR="003A4609" w:rsidRPr="009066A2" w:rsidRDefault="003A4609" w:rsidP="00AB259F">
            <w:pPr>
              <w:jc w:val="both"/>
              <w:rPr>
                <w:sz w:val="22"/>
                <w:szCs w:val="22"/>
              </w:rPr>
            </w:pPr>
          </w:p>
        </w:tc>
      </w:tr>
      <w:tr w:rsidR="003A4609">
        <w:trPr>
          <w:trHeight w:val="270"/>
        </w:trPr>
        <w:tc>
          <w:tcPr>
            <w:tcW w:w="10080" w:type="dxa"/>
            <w:shd w:val="clear" w:color="auto" w:fill="E6E6E6"/>
          </w:tcPr>
          <w:p w:rsidR="003A4609" w:rsidRPr="009066A2" w:rsidRDefault="003A4609" w:rsidP="003B4C81">
            <w:pPr>
              <w:rPr>
                <w:b/>
                <w:sz w:val="24"/>
                <w:szCs w:val="24"/>
              </w:rPr>
            </w:pPr>
            <w:r w:rsidRPr="005208BD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OFFENDER INFORMATION</w:t>
            </w:r>
          </w:p>
        </w:tc>
      </w:tr>
      <w:tr w:rsidR="003A4609">
        <w:trPr>
          <w:trHeight w:val="1020"/>
        </w:trPr>
        <w:tc>
          <w:tcPr>
            <w:tcW w:w="10080" w:type="dxa"/>
          </w:tcPr>
          <w:p w:rsidR="003A4609" w:rsidRDefault="003A4609" w:rsidP="006E4117">
            <w:pPr>
              <w:ind w:left="60"/>
              <w:rPr>
                <w:sz w:val="22"/>
                <w:szCs w:val="22"/>
              </w:rPr>
            </w:pPr>
          </w:p>
          <w:p w:rsidR="003A4609" w:rsidRPr="00DD59DB" w:rsidRDefault="003A4609" w:rsidP="00DD59D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D59DB">
              <w:rPr>
                <w:sz w:val="22"/>
                <w:szCs w:val="22"/>
              </w:rPr>
              <w:t>Nicknames have been included as this is relevant for a number of re</w:t>
            </w:r>
            <w:r>
              <w:rPr>
                <w:sz w:val="22"/>
                <w:szCs w:val="22"/>
              </w:rPr>
              <w:t>asons including gang membership</w:t>
            </w:r>
          </w:p>
          <w:p w:rsidR="003A4609" w:rsidRPr="00DD59DB" w:rsidRDefault="003A4609" w:rsidP="000D162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the actual ethnicity, not the code. </w:t>
            </w:r>
          </w:p>
          <w:p w:rsidR="003A4609" w:rsidRPr="00DD59DB" w:rsidRDefault="003A4609" w:rsidP="000D162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D59DB">
              <w:rPr>
                <w:sz w:val="22"/>
                <w:szCs w:val="22"/>
              </w:rPr>
              <w:t xml:space="preserve">ViSOR reference should be included when a ViSOR record has been created </w:t>
            </w:r>
            <w:r>
              <w:rPr>
                <w:sz w:val="22"/>
                <w:szCs w:val="22"/>
              </w:rPr>
              <w:t>e.g.</w:t>
            </w:r>
            <w:r w:rsidRPr="00DD59DB">
              <w:rPr>
                <w:sz w:val="22"/>
                <w:szCs w:val="22"/>
              </w:rPr>
              <w:t xml:space="preserve"> sexual offenders</w:t>
            </w:r>
          </w:p>
          <w:p w:rsidR="003A4609" w:rsidRDefault="003A4609" w:rsidP="000D162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D59DB">
              <w:rPr>
                <w:sz w:val="22"/>
                <w:szCs w:val="22"/>
              </w:rPr>
              <w:t>Agency unique identifier should be included (e</w:t>
            </w:r>
            <w:r>
              <w:rPr>
                <w:sz w:val="22"/>
                <w:szCs w:val="22"/>
              </w:rPr>
              <w:t>.</w:t>
            </w:r>
            <w:r w:rsidRPr="00DD59DB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  <w:r w:rsidRPr="00DD59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PNC ID, n</w:t>
            </w:r>
            <w:r w:rsidRPr="00DD59DB">
              <w:rPr>
                <w:sz w:val="22"/>
                <w:szCs w:val="22"/>
              </w:rPr>
              <w:t>Delius reference number)</w:t>
            </w:r>
          </w:p>
          <w:p w:rsidR="003A4609" w:rsidRPr="00DD59DB" w:rsidRDefault="003A4609" w:rsidP="00DD59D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D59DB">
              <w:rPr>
                <w:sz w:val="22"/>
                <w:szCs w:val="22"/>
              </w:rPr>
              <w:t>Where the offender was NFA prior to imprisonment that should be stated, and then the area to which the offender</w:t>
            </w:r>
            <w:r>
              <w:rPr>
                <w:sz w:val="22"/>
                <w:szCs w:val="22"/>
              </w:rPr>
              <w:t xml:space="preserve"> has closest links indentified</w:t>
            </w:r>
          </w:p>
          <w:p w:rsidR="003A4609" w:rsidRDefault="003A4609" w:rsidP="00DD59D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D59DB">
              <w:rPr>
                <w:sz w:val="22"/>
                <w:szCs w:val="22"/>
              </w:rPr>
              <w:t xml:space="preserve">The proposed release address should </w:t>
            </w:r>
            <w:r>
              <w:rPr>
                <w:sz w:val="22"/>
                <w:szCs w:val="22"/>
              </w:rPr>
              <w:t>be that which has been approved</w:t>
            </w:r>
          </w:p>
          <w:p w:rsidR="003A4609" w:rsidRPr="00DD59DB" w:rsidRDefault="003A4609" w:rsidP="000616A3">
            <w:pPr>
              <w:ind w:left="780"/>
              <w:rPr>
                <w:sz w:val="22"/>
                <w:szCs w:val="22"/>
              </w:rPr>
            </w:pPr>
          </w:p>
        </w:tc>
      </w:tr>
      <w:tr w:rsidR="003A4609">
        <w:trPr>
          <w:trHeight w:val="197"/>
        </w:trPr>
        <w:tc>
          <w:tcPr>
            <w:tcW w:w="10080" w:type="dxa"/>
            <w:shd w:val="clear" w:color="auto" w:fill="E6E6E6"/>
          </w:tcPr>
          <w:p w:rsidR="003A4609" w:rsidRPr="00DD59DB" w:rsidRDefault="003A4609" w:rsidP="00AB259F">
            <w:pPr>
              <w:rPr>
                <w:b/>
                <w:sz w:val="24"/>
                <w:szCs w:val="24"/>
              </w:rPr>
            </w:pPr>
            <w:r w:rsidRPr="005208BD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CONVICTION / CAUTION INFORMATION</w:t>
            </w:r>
          </w:p>
        </w:tc>
      </w:tr>
      <w:tr w:rsidR="003A4609">
        <w:trPr>
          <w:trHeight w:val="439"/>
        </w:trPr>
        <w:tc>
          <w:tcPr>
            <w:tcW w:w="10080" w:type="dxa"/>
          </w:tcPr>
          <w:p w:rsidR="003A4609" w:rsidRDefault="003A4609" w:rsidP="006E4117">
            <w:pPr>
              <w:rPr>
                <w:sz w:val="22"/>
                <w:szCs w:val="22"/>
              </w:rPr>
            </w:pPr>
          </w:p>
          <w:p w:rsidR="003A4609" w:rsidRPr="000616A3" w:rsidRDefault="003A4609" w:rsidP="000616A3">
            <w:pPr>
              <w:numPr>
                <w:ilvl w:val="0"/>
                <w:numId w:val="22"/>
              </w:numPr>
              <w:tabs>
                <w:tab w:val="clear" w:pos="780"/>
                <w:tab w:val="num" w:pos="7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index offence</w:t>
            </w:r>
            <w:r w:rsidRPr="000616A3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 xml:space="preserve">relevant </w:t>
            </w:r>
            <w:r w:rsidRPr="000616A3">
              <w:rPr>
                <w:sz w:val="22"/>
                <w:szCs w:val="22"/>
              </w:rPr>
              <w:t>caution (for Category 3) is the offence/s or caution which has brought the offender into MAPPA</w:t>
            </w:r>
          </w:p>
          <w:p w:rsidR="003A4609" w:rsidRPr="00DD59DB" w:rsidRDefault="003A4609" w:rsidP="00DD59D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Sentence length and type is the</w:t>
            </w:r>
            <w:r w:rsidRPr="00DD59DB">
              <w:rPr>
                <w:sz w:val="22"/>
                <w:szCs w:val="22"/>
              </w:rPr>
              <w:t xml:space="preserve"> outcome of Court proceedings</w:t>
            </w:r>
          </w:p>
          <w:p w:rsidR="003A4609" w:rsidRPr="00DD59DB" w:rsidRDefault="003A4609" w:rsidP="00DD59D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31568">
              <w:rPr>
                <w:b/>
                <w:sz w:val="22"/>
                <w:szCs w:val="22"/>
                <w:u w:val="single"/>
              </w:rPr>
              <w:t>Brief</w:t>
            </w:r>
            <w:r w:rsidRPr="00DD59DB">
              <w:rPr>
                <w:sz w:val="22"/>
                <w:szCs w:val="22"/>
              </w:rPr>
              <w:t xml:space="preserve"> details of offence</w:t>
            </w:r>
            <w:r>
              <w:rPr>
                <w:sz w:val="22"/>
                <w:szCs w:val="22"/>
              </w:rPr>
              <w:t>. Information</w:t>
            </w:r>
            <w:r w:rsidRPr="00DD59DB">
              <w:rPr>
                <w:sz w:val="22"/>
                <w:szCs w:val="22"/>
              </w:rPr>
              <w:t xml:space="preserve"> must not be cut and pasted from the Pre-Sentence Report or any other document. Use bullet points</w:t>
            </w:r>
          </w:p>
          <w:p w:rsidR="003A4609" w:rsidRPr="00870D3A" w:rsidRDefault="003A4609" w:rsidP="000616A3">
            <w:pPr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870D3A">
              <w:rPr>
                <w:color w:val="000000"/>
                <w:sz w:val="22"/>
                <w:szCs w:val="22"/>
              </w:rPr>
              <w:t>Previous related offences should be included.</w:t>
            </w:r>
          </w:p>
          <w:p w:rsidR="003A4609" w:rsidRDefault="003A4609" w:rsidP="00702CB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D59DB">
              <w:rPr>
                <w:sz w:val="22"/>
                <w:szCs w:val="22"/>
              </w:rPr>
              <w:t>There may or may not be additional information the r</w:t>
            </w:r>
            <w:r>
              <w:rPr>
                <w:sz w:val="22"/>
                <w:szCs w:val="22"/>
              </w:rPr>
              <w:t>eferring agency wishes to add</w:t>
            </w:r>
          </w:p>
          <w:p w:rsidR="003A4609" w:rsidRPr="009066A2" w:rsidRDefault="003A4609" w:rsidP="006E4117">
            <w:pPr>
              <w:ind w:left="60"/>
              <w:rPr>
                <w:sz w:val="22"/>
                <w:szCs w:val="22"/>
              </w:rPr>
            </w:pPr>
          </w:p>
        </w:tc>
      </w:tr>
      <w:tr w:rsidR="003A4609">
        <w:trPr>
          <w:trHeight w:val="210"/>
        </w:trPr>
        <w:tc>
          <w:tcPr>
            <w:tcW w:w="10080" w:type="dxa"/>
            <w:shd w:val="clear" w:color="auto" w:fill="E6E6E6"/>
          </w:tcPr>
          <w:p w:rsidR="003A4609" w:rsidRDefault="003A4609" w:rsidP="00906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RELEVANT DATES</w:t>
            </w:r>
          </w:p>
        </w:tc>
      </w:tr>
      <w:tr w:rsidR="003A4609" w:rsidTr="000616A3">
        <w:trPr>
          <w:trHeight w:val="210"/>
        </w:trPr>
        <w:tc>
          <w:tcPr>
            <w:tcW w:w="10080" w:type="dxa"/>
          </w:tcPr>
          <w:p w:rsidR="003A4609" w:rsidRDefault="003A4609" w:rsidP="002F3D7C">
            <w:pPr>
              <w:rPr>
                <w:sz w:val="22"/>
                <w:szCs w:val="22"/>
              </w:rPr>
            </w:pPr>
          </w:p>
          <w:p w:rsidR="003A4609" w:rsidRDefault="003A4609" w:rsidP="002F3D7C">
            <w:pPr>
              <w:rPr>
                <w:sz w:val="22"/>
                <w:szCs w:val="22"/>
              </w:rPr>
            </w:pPr>
            <w:r w:rsidRPr="00DD59DB">
              <w:rPr>
                <w:sz w:val="22"/>
                <w:szCs w:val="22"/>
              </w:rPr>
              <w:t>Relevant dates are those which relate to the current sentenc</w:t>
            </w:r>
            <w:r>
              <w:rPr>
                <w:sz w:val="22"/>
                <w:szCs w:val="22"/>
              </w:rPr>
              <w:t>e or order (input dates where known).</w:t>
            </w:r>
          </w:p>
          <w:p w:rsidR="003A4609" w:rsidRPr="000616A3" w:rsidRDefault="003A4609" w:rsidP="009066A2">
            <w:pPr>
              <w:rPr>
                <w:sz w:val="22"/>
                <w:szCs w:val="22"/>
              </w:rPr>
            </w:pPr>
          </w:p>
        </w:tc>
      </w:tr>
      <w:tr w:rsidR="003A4609">
        <w:trPr>
          <w:trHeight w:val="210"/>
        </w:trPr>
        <w:tc>
          <w:tcPr>
            <w:tcW w:w="10080" w:type="dxa"/>
            <w:shd w:val="clear" w:color="auto" w:fill="E6E6E6"/>
          </w:tcPr>
          <w:p w:rsidR="003A4609" w:rsidRPr="00DD59DB" w:rsidRDefault="003A4609" w:rsidP="00906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50D4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DETAINED IN HOSPITAL</w:t>
            </w:r>
          </w:p>
        </w:tc>
      </w:tr>
      <w:tr w:rsidR="003A4609">
        <w:trPr>
          <w:trHeight w:val="555"/>
        </w:trPr>
        <w:tc>
          <w:tcPr>
            <w:tcW w:w="10080" w:type="dxa"/>
          </w:tcPr>
          <w:p w:rsidR="003A4609" w:rsidRDefault="003A4609" w:rsidP="009066A2">
            <w:pPr>
              <w:jc w:val="both"/>
              <w:rPr>
                <w:sz w:val="22"/>
                <w:szCs w:val="22"/>
              </w:rPr>
            </w:pPr>
          </w:p>
          <w:p w:rsidR="003A4609" w:rsidRDefault="003A4609" w:rsidP="009066A2">
            <w:pPr>
              <w:jc w:val="both"/>
              <w:rPr>
                <w:sz w:val="22"/>
                <w:szCs w:val="22"/>
              </w:rPr>
            </w:pPr>
            <w:r w:rsidRPr="00DD59DB">
              <w:rPr>
                <w:sz w:val="22"/>
                <w:szCs w:val="22"/>
              </w:rPr>
              <w:t>This section should be completed by Mental Health</w:t>
            </w:r>
            <w:r>
              <w:rPr>
                <w:sz w:val="22"/>
                <w:szCs w:val="22"/>
              </w:rPr>
              <w:t xml:space="preserve"> Services</w:t>
            </w:r>
            <w:r w:rsidRPr="00DD59DB">
              <w:rPr>
                <w:sz w:val="22"/>
                <w:szCs w:val="22"/>
              </w:rPr>
              <w:t xml:space="preserve"> and provides relevant information regarding the patient.</w:t>
            </w:r>
          </w:p>
          <w:p w:rsidR="003A4609" w:rsidRPr="009066A2" w:rsidRDefault="003A4609" w:rsidP="009066A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4609">
        <w:trPr>
          <w:trHeight w:val="315"/>
        </w:trPr>
        <w:tc>
          <w:tcPr>
            <w:tcW w:w="10080" w:type="dxa"/>
            <w:shd w:val="clear" w:color="auto" w:fill="E6E6E6"/>
          </w:tcPr>
          <w:p w:rsidR="003A4609" w:rsidRDefault="003A4609" w:rsidP="00DD59DB">
            <w:pPr>
              <w:rPr>
                <w:b/>
                <w:sz w:val="24"/>
                <w:szCs w:val="24"/>
              </w:rPr>
            </w:pPr>
            <w:r w:rsidRPr="000616A3">
              <w:rPr>
                <w:b/>
                <w:sz w:val="24"/>
                <w:szCs w:val="24"/>
              </w:rPr>
              <w:t>6. RELEVANT INFORMATION</w:t>
            </w:r>
          </w:p>
        </w:tc>
      </w:tr>
      <w:tr w:rsidR="003A4609" w:rsidTr="000616A3">
        <w:trPr>
          <w:trHeight w:val="315"/>
        </w:trPr>
        <w:tc>
          <w:tcPr>
            <w:tcW w:w="10080" w:type="dxa"/>
          </w:tcPr>
          <w:p w:rsidR="003A4609" w:rsidRDefault="003A4609" w:rsidP="000616A3">
            <w:pPr>
              <w:rPr>
                <w:b/>
                <w:sz w:val="22"/>
                <w:szCs w:val="22"/>
              </w:rPr>
            </w:pPr>
          </w:p>
          <w:p w:rsidR="003A4609" w:rsidRDefault="003A4609" w:rsidP="000616A3">
            <w:pPr>
              <w:rPr>
                <w:sz w:val="22"/>
                <w:szCs w:val="22"/>
              </w:rPr>
            </w:pPr>
            <w:r w:rsidRPr="00DD59DB">
              <w:rPr>
                <w:b/>
                <w:sz w:val="22"/>
                <w:szCs w:val="22"/>
              </w:rPr>
              <w:t>Reason for referral</w:t>
            </w:r>
          </w:p>
          <w:p w:rsidR="003A4609" w:rsidRDefault="003A4609" w:rsidP="002F3D7C">
            <w:pPr>
              <w:rPr>
                <w:sz w:val="22"/>
                <w:szCs w:val="22"/>
              </w:rPr>
            </w:pPr>
            <w:r w:rsidRPr="00DD59DB">
              <w:rPr>
                <w:sz w:val="22"/>
                <w:szCs w:val="22"/>
              </w:rPr>
              <w:t>The reasons why the referral has been made may include concerns about</w:t>
            </w:r>
            <w:r>
              <w:rPr>
                <w:sz w:val="22"/>
                <w:szCs w:val="22"/>
              </w:rPr>
              <w:t>:</w:t>
            </w:r>
          </w:p>
          <w:p w:rsidR="003A4609" w:rsidRPr="00DD59DB" w:rsidRDefault="003A4609" w:rsidP="000616A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D59DB">
              <w:rPr>
                <w:sz w:val="22"/>
                <w:szCs w:val="22"/>
              </w:rPr>
              <w:t>ehaviour and attitudes</w:t>
            </w:r>
          </w:p>
          <w:p w:rsidR="003A4609" w:rsidRPr="00DD59DB" w:rsidRDefault="003A4609" w:rsidP="000616A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D59DB">
              <w:rPr>
                <w:sz w:val="22"/>
                <w:szCs w:val="22"/>
              </w:rPr>
              <w:t xml:space="preserve">revious offences and </w:t>
            </w:r>
            <w:r>
              <w:rPr>
                <w:sz w:val="22"/>
                <w:szCs w:val="22"/>
              </w:rPr>
              <w:t>patterns of offending</w:t>
            </w:r>
          </w:p>
          <w:p w:rsidR="003A4609" w:rsidRPr="00DD59DB" w:rsidRDefault="003A4609" w:rsidP="000616A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DD59DB">
              <w:rPr>
                <w:sz w:val="22"/>
                <w:szCs w:val="22"/>
              </w:rPr>
              <w:t>nformation gathered from other agencies</w:t>
            </w:r>
          </w:p>
          <w:p w:rsidR="003A4609" w:rsidRPr="00DD59DB" w:rsidRDefault="003A4609" w:rsidP="000616A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D59DB">
              <w:rPr>
                <w:sz w:val="22"/>
                <w:szCs w:val="22"/>
              </w:rPr>
              <w:t>he offender</w:t>
            </w:r>
            <w:r>
              <w:rPr>
                <w:sz w:val="22"/>
                <w:szCs w:val="22"/>
              </w:rPr>
              <w:t>’</w:t>
            </w:r>
            <w:r w:rsidRPr="00DD59DB">
              <w:rPr>
                <w:sz w:val="22"/>
                <w:szCs w:val="22"/>
              </w:rPr>
              <w:t>s pattern of co</w:t>
            </w:r>
            <w:r>
              <w:rPr>
                <w:sz w:val="22"/>
                <w:szCs w:val="22"/>
              </w:rPr>
              <w:t>-</w:t>
            </w:r>
            <w:r w:rsidRPr="00DD59DB">
              <w:rPr>
                <w:sz w:val="22"/>
                <w:szCs w:val="22"/>
              </w:rPr>
              <w:t>operation</w:t>
            </w:r>
          </w:p>
          <w:p w:rsidR="003A4609" w:rsidRPr="00DD59DB" w:rsidRDefault="003A4609" w:rsidP="000616A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Gang involvement</w:t>
            </w:r>
          </w:p>
          <w:p w:rsidR="003A4609" w:rsidRPr="00DD59DB" w:rsidRDefault="003A4609" w:rsidP="000616A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D59DB">
              <w:rPr>
                <w:sz w:val="22"/>
                <w:szCs w:val="22"/>
              </w:rPr>
              <w:t>TACT involvement</w:t>
            </w:r>
          </w:p>
          <w:p w:rsidR="003A4609" w:rsidRPr="00DD59DB" w:rsidRDefault="003A4609" w:rsidP="000616A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DD59DB">
              <w:rPr>
                <w:sz w:val="22"/>
                <w:szCs w:val="22"/>
              </w:rPr>
              <w:t>elevant psychiatric history</w:t>
            </w:r>
          </w:p>
          <w:p w:rsidR="003A4609" w:rsidRDefault="003A4609" w:rsidP="000616A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D59DB">
              <w:rPr>
                <w:sz w:val="22"/>
                <w:szCs w:val="22"/>
              </w:rPr>
              <w:t>iagnosed  personality  disorder</w:t>
            </w:r>
          </w:p>
          <w:p w:rsidR="003A4609" w:rsidRPr="00790304" w:rsidRDefault="003A4609" w:rsidP="00790304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90304">
              <w:rPr>
                <w:sz w:val="22"/>
                <w:szCs w:val="22"/>
              </w:rPr>
              <w:t>Information from Risk Assessment or risk of reconviction tool</w:t>
            </w:r>
            <w:r>
              <w:rPr>
                <w:sz w:val="22"/>
                <w:szCs w:val="22"/>
              </w:rPr>
              <w:t xml:space="preserve"> </w:t>
            </w:r>
            <w:r w:rsidRPr="00790304">
              <w:rPr>
                <w:sz w:val="22"/>
                <w:szCs w:val="22"/>
              </w:rPr>
              <w:t xml:space="preserve">Disclosure issues </w:t>
            </w:r>
          </w:p>
          <w:p w:rsidR="003A4609" w:rsidRDefault="003A4609" w:rsidP="002677F0">
            <w:pPr>
              <w:ind w:left="780"/>
              <w:rPr>
                <w:sz w:val="22"/>
                <w:szCs w:val="22"/>
              </w:rPr>
            </w:pPr>
          </w:p>
          <w:p w:rsidR="003A4609" w:rsidRDefault="003A4609" w:rsidP="002677F0">
            <w:pPr>
              <w:rPr>
                <w:b/>
                <w:sz w:val="22"/>
                <w:szCs w:val="22"/>
              </w:rPr>
            </w:pPr>
            <w:r w:rsidRPr="00501822">
              <w:rPr>
                <w:b/>
                <w:sz w:val="22"/>
                <w:szCs w:val="22"/>
              </w:rPr>
              <w:t>How will active</w:t>
            </w:r>
            <w:r>
              <w:rPr>
                <w:b/>
                <w:sz w:val="22"/>
                <w:szCs w:val="22"/>
              </w:rPr>
              <w:t xml:space="preserve"> Level 2 or 3 management add value </w:t>
            </w:r>
            <w:r w:rsidRPr="00501822">
              <w:rPr>
                <w:b/>
                <w:sz w:val="22"/>
                <w:szCs w:val="22"/>
              </w:rPr>
              <w:t>to the</w:t>
            </w:r>
            <w:r>
              <w:rPr>
                <w:b/>
                <w:sz w:val="22"/>
                <w:szCs w:val="22"/>
              </w:rPr>
              <w:t xml:space="preserve"> management of the case over and above what is already being achieved?  </w:t>
            </w:r>
          </w:p>
          <w:p w:rsidR="003A4609" w:rsidRPr="002F3D7C" w:rsidRDefault="003A4609" w:rsidP="002677F0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2F3D7C">
              <w:rPr>
                <w:sz w:val="22"/>
                <w:szCs w:val="22"/>
              </w:rPr>
              <w:t>Key words are</w:t>
            </w:r>
            <w:r w:rsidRPr="002F3D7C">
              <w:rPr>
                <w:b/>
                <w:sz w:val="22"/>
                <w:szCs w:val="22"/>
              </w:rPr>
              <w:t xml:space="preserve"> active </w:t>
            </w:r>
            <w:r w:rsidRPr="002F3D7C">
              <w:rPr>
                <w:sz w:val="22"/>
                <w:szCs w:val="22"/>
              </w:rPr>
              <w:t>and</w:t>
            </w:r>
            <w:r w:rsidRPr="002F3D7C">
              <w:rPr>
                <w:b/>
                <w:sz w:val="22"/>
                <w:szCs w:val="22"/>
              </w:rPr>
              <w:t xml:space="preserve"> add value</w:t>
            </w:r>
          </w:p>
          <w:p w:rsidR="003A4609" w:rsidRDefault="003A4609" w:rsidP="002677F0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2F3D7C">
              <w:rPr>
                <w:sz w:val="22"/>
                <w:szCs w:val="22"/>
              </w:rPr>
              <w:t>Describe what additional resources etc the agencies involved in MAPPA can add to how the risk of the serious harm the offender poses can be managed</w:t>
            </w:r>
            <w:r w:rsidRPr="002F3D7C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more effectively</w:t>
            </w:r>
          </w:p>
          <w:p w:rsidR="003A4609" w:rsidRPr="002677F0" w:rsidRDefault="003A4609" w:rsidP="002677F0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what is required from a level 2 or 3 MAPPA meeting in order to complete the risk assessment or deliver a defensible Risk Management Plan. </w:t>
            </w:r>
          </w:p>
          <w:p w:rsidR="003A4609" w:rsidRDefault="003A4609" w:rsidP="000616A3">
            <w:pPr>
              <w:ind w:firstLine="720"/>
              <w:rPr>
                <w:sz w:val="22"/>
                <w:szCs w:val="22"/>
              </w:rPr>
            </w:pPr>
          </w:p>
          <w:p w:rsidR="003A4609" w:rsidRPr="00501822" w:rsidRDefault="003A4609" w:rsidP="000616A3">
            <w:pPr>
              <w:rPr>
                <w:b/>
                <w:sz w:val="22"/>
                <w:szCs w:val="22"/>
              </w:rPr>
            </w:pPr>
            <w:r w:rsidRPr="00501822">
              <w:rPr>
                <w:b/>
                <w:sz w:val="22"/>
                <w:szCs w:val="22"/>
              </w:rPr>
              <w:t xml:space="preserve">What interagency work has been undertaken so far? </w:t>
            </w:r>
          </w:p>
          <w:p w:rsidR="003A4609" w:rsidRPr="00501822" w:rsidRDefault="003A4609" w:rsidP="000616A3">
            <w:pPr>
              <w:rPr>
                <w:sz w:val="22"/>
                <w:szCs w:val="22"/>
              </w:rPr>
            </w:pPr>
            <w:r w:rsidRPr="00501822">
              <w:rPr>
                <w:sz w:val="22"/>
                <w:szCs w:val="22"/>
              </w:rPr>
              <w:t>Should include the outcomes of:</w:t>
            </w:r>
          </w:p>
          <w:p w:rsidR="003A4609" w:rsidRPr="00501822" w:rsidRDefault="003A4609" w:rsidP="000616A3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 Plan Approach Meetings</w:t>
            </w:r>
          </w:p>
          <w:p w:rsidR="003A4609" w:rsidRPr="00501822" w:rsidRDefault="003A4609" w:rsidP="000616A3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501822">
              <w:rPr>
                <w:sz w:val="22"/>
                <w:szCs w:val="22"/>
              </w:rPr>
              <w:t>hild Protection Conferences</w:t>
            </w:r>
          </w:p>
          <w:p w:rsidR="003A4609" w:rsidRPr="00501822" w:rsidRDefault="003A4609" w:rsidP="000616A3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Professionals Meetings</w:t>
            </w:r>
          </w:p>
          <w:p w:rsidR="003A4609" w:rsidRPr="002F3D7C" w:rsidRDefault="003A4609" w:rsidP="00F54CD6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2F3D7C">
              <w:rPr>
                <w:sz w:val="22"/>
                <w:szCs w:val="22"/>
              </w:rPr>
              <w:t xml:space="preserve">Which agencies have been contacted and what they have contributed to the risk </w:t>
            </w:r>
            <w:r>
              <w:rPr>
                <w:sz w:val="22"/>
                <w:szCs w:val="22"/>
              </w:rPr>
              <w:t>m</w:t>
            </w:r>
            <w:r w:rsidRPr="002F3D7C">
              <w:rPr>
                <w:sz w:val="22"/>
                <w:szCs w:val="22"/>
              </w:rPr>
              <w:t>anagement plan?</w:t>
            </w:r>
          </w:p>
          <w:p w:rsidR="003A4609" w:rsidRPr="004C0EEF" w:rsidRDefault="003A4609" w:rsidP="004C0EEF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MARAC</w:t>
            </w:r>
          </w:p>
          <w:p w:rsidR="003A4609" w:rsidRPr="00501822" w:rsidRDefault="003A4609" w:rsidP="000616A3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3A4609" w:rsidRDefault="003A4609" w:rsidP="000616A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Equality</w:t>
            </w:r>
            <w:r w:rsidRPr="006E4117">
              <w:rPr>
                <w:b/>
                <w:sz w:val="22"/>
                <w:szCs w:val="22"/>
              </w:rPr>
              <w:t xml:space="preserve"> </w:t>
            </w:r>
            <w:r w:rsidRPr="002F3D7C">
              <w:rPr>
                <w:b/>
                <w:sz w:val="22"/>
                <w:szCs w:val="22"/>
              </w:rPr>
              <w:t>considerations linked to risk of serious harm</w:t>
            </w:r>
            <w:r w:rsidRPr="00501822">
              <w:rPr>
                <w:sz w:val="22"/>
                <w:szCs w:val="22"/>
              </w:rPr>
              <w:t xml:space="preserve"> </w:t>
            </w:r>
          </w:p>
          <w:p w:rsidR="003A4609" w:rsidRDefault="003A4609" w:rsidP="00F54CD6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Consideration is to be given if any of the nine protected characteristics set out in the Equality Act 2010 (i.e. age, disability, gender reassignment, marriage &amp; civil partnership, pregnant &amp; maternity, race, religion or belief, sex, sexual orientation) apply to the offender</w:t>
            </w:r>
          </w:p>
          <w:p w:rsidR="003A4609" w:rsidRDefault="003A4609" w:rsidP="00F54CD6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Only </w:t>
            </w:r>
            <w:r w:rsidRPr="002F3D7C">
              <w:rPr>
                <w:sz w:val="22"/>
                <w:szCs w:val="22"/>
              </w:rPr>
              <w:t xml:space="preserve">comment on </w:t>
            </w:r>
            <w:r>
              <w:rPr>
                <w:sz w:val="22"/>
                <w:szCs w:val="22"/>
              </w:rPr>
              <w:t>equality</w:t>
            </w:r>
            <w:r w:rsidRPr="002F3D7C">
              <w:rPr>
                <w:sz w:val="22"/>
                <w:szCs w:val="22"/>
              </w:rPr>
              <w:t xml:space="preserve"> issues that could impact upon risk management, e.g. is the offender a vulnerable adult, does he/</w:t>
            </w:r>
            <w:r>
              <w:rPr>
                <w:sz w:val="22"/>
                <w:szCs w:val="22"/>
              </w:rPr>
              <w:t xml:space="preserve">she have learning disabilities </w:t>
            </w:r>
            <w:r w:rsidRPr="002F3D7C">
              <w:rPr>
                <w:sz w:val="22"/>
                <w:szCs w:val="22"/>
              </w:rPr>
              <w:t>etc.</w:t>
            </w:r>
          </w:p>
          <w:p w:rsidR="003A4609" w:rsidRDefault="003A4609" w:rsidP="00F54CD6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offender is a child, consider the voice of the child</w:t>
            </w:r>
          </w:p>
          <w:p w:rsidR="003A4609" w:rsidRPr="000616A3" w:rsidRDefault="003A4609" w:rsidP="00FE78D1">
            <w:pPr>
              <w:ind w:left="720"/>
              <w:rPr>
                <w:sz w:val="22"/>
                <w:szCs w:val="22"/>
              </w:rPr>
            </w:pPr>
          </w:p>
        </w:tc>
      </w:tr>
      <w:tr w:rsidR="003A4609">
        <w:trPr>
          <w:trHeight w:val="315"/>
        </w:trPr>
        <w:tc>
          <w:tcPr>
            <w:tcW w:w="10080" w:type="dxa"/>
            <w:shd w:val="clear" w:color="auto" w:fill="E6E6E6"/>
          </w:tcPr>
          <w:p w:rsidR="003A4609" w:rsidRPr="00DD59DB" w:rsidRDefault="003A4609" w:rsidP="00DD59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50D4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RISK ASSESSMENT</w:t>
            </w:r>
          </w:p>
        </w:tc>
      </w:tr>
      <w:tr w:rsidR="003A4609" w:rsidTr="002F3D7C">
        <w:trPr>
          <w:trHeight w:val="315"/>
        </w:trPr>
        <w:tc>
          <w:tcPr>
            <w:tcW w:w="10080" w:type="dxa"/>
          </w:tcPr>
          <w:p w:rsidR="003A4609" w:rsidRDefault="003A4609" w:rsidP="00DD59DB">
            <w:pPr>
              <w:rPr>
                <w:sz w:val="22"/>
                <w:szCs w:val="22"/>
              </w:rPr>
            </w:pPr>
          </w:p>
          <w:p w:rsidR="003A4609" w:rsidRPr="00DD59DB" w:rsidRDefault="003A4609" w:rsidP="002F3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information in the header line indicates the type of offender the tool should be completed for. </w:t>
            </w:r>
            <w:r w:rsidRPr="00DD59DB">
              <w:rPr>
                <w:sz w:val="22"/>
                <w:szCs w:val="22"/>
              </w:rPr>
              <w:t xml:space="preserve">It is important to include the date the tool was </w:t>
            </w:r>
            <w:r>
              <w:rPr>
                <w:sz w:val="22"/>
                <w:szCs w:val="22"/>
              </w:rPr>
              <w:t>completed.</w:t>
            </w:r>
          </w:p>
          <w:p w:rsidR="003A4609" w:rsidRPr="002F3D7C" w:rsidRDefault="003A4609" w:rsidP="00DD59DB">
            <w:pPr>
              <w:rPr>
                <w:sz w:val="22"/>
                <w:szCs w:val="22"/>
              </w:rPr>
            </w:pPr>
          </w:p>
        </w:tc>
      </w:tr>
      <w:tr w:rsidR="003A4609">
        <w:trPr>
          <w:trHeight w:val="315"/>
        </w:trPr>
        <w:tc>
          <w:tcPr>
            <w:tcW w:w="10080" w:type="dxa"/>
            <w:shd w:val="clear" w:color="auto" w:fill="E6E6E6"/>
          </w:tcPr>
          <w:p w:rsidR="003A4609" w:rsidRDefault="003A4609" w:rsidP="00DD59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SAFEGUARDING</w:t>
            </w:r>
          </w:p>
        </w:tc>
      </w:tr>
      <w:tr w:rsidR="003A4609" w:rsidTr="00310DE6">
        <w:trPr>
          <w:trHeight w:val="315"/>
        </w:trPr>
        <w:tc>
          <w:tcPr>
            <w:tcW w:w="10080" w:type="dxa"/>
          </w:tcPr>
          <w:p w:rsidR="003A4609" w:rsidRDefault="003A4609" w:rsidP="00310DE6">
            <w:pPr>
              <w:rPr>
                <w:sz w:val="22"/>
                <w:szCs w:val="22"/>
              </w:rPr>
            </w:pPr>
          </w:p>
          <w:p w:rsidR="003A4609" w:rsidRPr="00501822" w:rsidRDefault="003A4609" w:rsidP="00310DE6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01822">
              <w:rPr>
                <w:sz w:val="22"/>
                <w:szCs w:val="22"/>
              </w:rPr>
              <w:t xml:space="preserve">Children’s services keep records </w:t>
            </w:r>
            <w:r>
              <w:rPr>
                <w:sz w:val="22"/>
                <w:szCs w:val="22"/>
              </w:rPr>
              <w:t xml:space="preserve">by the name of the </w:t>
            </w:r>
            <w:r w:rsidRPr="00501822">
              <w:rPr>
                <w:sz w:val="22"/>
                <w:szCs w:val="22"/>
              </w:rPr>
              <w:t>child. To assist this agency</w:t>
            </w:r>
            <w:r>
              <w:rPr>
                <w:sz w:val="22"/>
                <w:szCs w:val="22"/>
              </w:rPr>
              <w:t>, the name of the child and any other relevant information available should be provided</w:t>
            </w:r>
            <w:r w:rsidRPr="005018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enable the coordination unit to invite the correct person to the meeting.</w:t>
            </w:r>
          </w:p>
          <w:p w:rsidR="003A4609" w:rsidRPr="00501822" w:rsidRDefault="003A4609" w:rsidP="00310DE6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01822">
              <w:rPr>
                <w:sz w:val="22"/>
                <w:szCs w:val="22"/>
              </w:rPr>
              <w:t>Where the concerns relate to children in general, these should be specified</w:t>
            </w:r>
            <w:r>
              <w:rPr>
                <w:sz w:val="22"/>
                <w:szCs w:val="22"/>
              </w:rPr>
              <w:t>.</w:t>
            </w:r>
          </w:p>
          <w:p w:rsidR="003A4609" w:rsidRDefault="003A4609" w:rsidP="00310DE6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01822">
              <w:rPr>
                <w:sz w:val="22"/>
                <w:szCs w:val="22"/>
              </w:rPr>
              <w:t>Vulnerable Adult concerns should be noted</w:t>
            </w:r>
            <w:r>
              <w:rPr>
                <w:sz w:val="22"/>
                <w:szCs w:val="22"/>
              </w:rPr>
              <w:t>, both in relation to the offender and those adults the offender is in contact with</w:t>
            </w:r>
            <w:r w:rsidRPr="00501822">
              <w:rPr>
                <w:sz w:val="22"/>
                <w:szCs w:val="22"/>
              </w:rPr>
              <w:t>. If in doubt, contact the local Safeguarding Adults Unit</w:t>
            </w:r>
            <w:r>
              <w:rPr>
                <w:sz w:val="22"/>
                <w:szCs w:val="22"/>
              </w:rPr>
              <w:t>.</w:t>
            </w:r>
          </w:p>
          <w:p w:rsidR="003A4609" w:rsidRDefault="003A4609" w:rsidP="00310DE6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vulnerability of the offender should be distinguished from the risks presented by the offender. Where the offender is a child, it is important that the panel considers the needs of the child as well as the risks posed by them. </w:t>
            </w:r>
          </w:p>
          <w:p w:rsidR="003A4609" w:rsidRPr="002F3D7C" w:rsidRDefault="003A4609" w:rsidP="00310DE6">
            <w:pPr>
              <w:rPr>
                <w:sz w:val="22"/>
                <w:szCs w:val="22"/>
              </w:rPr>
            </w:pPr>
          </w:p>
        </w:tc>
      </w:tr>
      <w:tr w:rsidR="003A4609">
        <w:trPr>
          <w:trHeight w:val="315"/>
        </w:trPr>
        <w:tc>
          <w:tcPr>
            <w:tcW w:w="10080" w:type="dxa"/>
            <w:shd w:val="clear" w:color="auto" w:fill="E6E6E6"/>
          </w:tcPr>
          <w:p w:rsidR="003A4609" w:rsidRPr="00501822" w:rsidRDefault="003A4609" w:rsidP="00310DE6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C359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VICTIM CONCERNS</w:t>
            </w:r>
          </w:p>
        </w:tc>
      </w:tr>
      <w:tr w:rsidR="003A4609" w:rsidTr="00310DE6">
        <w:trPr>
          <w:trHeight w:val="315"/>
        </w:trPr>
        <w:tc>
          <w:tcPr>
            <w:tcW w:w="10080" w:type="dxa"/>
          </w:tcPr>
          <w:p w:rsidR="003A4609" w:rsidRDefault="003A4609" w:rsidP="00310DE6">
            <w:pPr>
              <w:rPr>
                <w:sz w:val="22"/>
                <w:szCs w:val="22"/>
              </w:rPr>
            </w:pPr>
          </w:p>
          <w:p w:rsidR="003A4609" w:rsidRDefault="003A4609" w:rsidP="00310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section should outline </w:t>
            </w:r>
            <w:r w:rsidRPr="00501822">
              <w:rPr>
                <w:sz w:val="22"/>
                <w:szCs w:val="22"/>
              </w:rPr>
              <w:t>any</w:t>
            </w:r>
            <w:r>
              <w:rPr>
                <w:sz w:val="22"/>
                <w:szCs w:val="22"/>
              </w:rPr>
              <w:t xml:space="preserve"> known or suspected </w:t>
            </w:r>
            <w:r w:rsidRPr="00501822">
              <w:rPr>
                <w:sz w:val="22"/>
                <w:szCs w:val="22"/>
              </w:rPr>
              <w:t xml:space="preserve">concerns </w:t>
            </w:r>
            <w:r>
              <w:rPr>
                <w:sz w:val="22"/>
                <w:szCs w:val="22"/>
              </w:rPr>
              <w:t xml:space="preserve">regarding the </w:t>
            </w:r>
            <w:r w:rsidRPr="00501822">
              <w:rPr>
                <w:sz w:val="22"/>
                <w:szCs w:val="22"/>
              </w:rPr>
              <w:t>victim of the index offence</w:t>
            </w:r>
            <w:r>
              <w:rPr>
                <w:sz w:val="22"/>
                <w:szCs w:val="22"/>
              </w:rPr>
              <w:t>/s</w:t>
            </w:r>
            <w:r w:rsidRPr="00501822">
              <w:rPr>
                <w:sz w:val="22"/>
                <w:szCs w:val="22"/>
              </w:rPr>
              <w:t>, previous offences or potential victims e.g. children, partners, vulnerable adults etc, and why the referring agency thinks those identified are at risk of serious harm.</w:t>
            </w:r>
          </w:p>
          <w:p w:rsidR="003A4609" w:rsidRPr="00310DE6" w:rsidRDefault="003A4609" w:rsidP="00310DE6">
            <w:pPr>
              <w:rPr>
                <w:sz w:val="22"/>
                <w:szCs w:val="22"/>
              </w:rPr>
            </w:pPr>
          </w:p>
        </w:tc>
      </w:tr>
      <w:tr w:rsidR="003A4609">
        <w:trPr>
          <w:trHeight w:val="315"/>
        </w:trPr>
        <w:tc>
          <w:tcPr>
            <w:tcW w:w="10080" w:type="dxa"/>
            <w:shd w:val="clear" w:color="auto" w:fill="E6E6E6"/>
          </w:tcPr>
          <w:p w:rsidR="003A4609" w:rsidRDefault="003A4609" w:rsidP="00310D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RISK ASSESSMENT AND MANAGEMENT PLAN</w:t>
            </w:r>
          </w:p>
        </w:tc>
      </w:tr>
      <w:tr w:rsidR="003A4609">
        <w:trPr>
          <w:trHeight w:val="3944"/>
        </w:trPr>
        <w:tc>
          <w:tcPr>
            <w:tcW w:w="10080" w:type="dxa"/>
          </w:tcPr>
          <w:p w:rsidR="003A4609" w:rsidRDefault="003A4609" w:rsidP="00310DE6">
            <w:pPr>
              <w:ind w:left="60"/>
              <w:rPr>
                <w:sz w:val="22"/>
                <w:szCs w:val="22"/>
              </w:rPr>
            </w:pPr>
          </w:p>
          <w:p w:rsidR="003A4609" w:rsidRDefault="003A4609" w:rsidP="007B2887">
            <w:pPr>
              <w:rPr>
                <w:sz w:val="22"/>
                <w:szCs w:val="22"/>
              </w:rPr>
            </w:pPr>
            <w:r w:rsidRPr="007B2887">
              <w:rPr>
                <w:b/>
                <w:sz w:val="22"/>
                <w:szCs w:val="22"/>
              </w:rPr>
              <w:t>Lead Agency Risk Assessment Summary</w:t>
            </w:r>
          </w:p>
          <w:p w:rsidR="003A4609" w:rsidRPr="00DD59DB" w:rsidRDefault="003A4609" w:rsidP="007B2887">
            <w:pPr>
              <w:rPr>
                <w:sz w:val="22"/>
                <w:szCs w:val="22"/>
              </w:rPr>
            </w:pPr>
          </w:p>
          <w:p w:rsidR="003A4609" w:rsidRDefault="003A4609" w:rsidP="007B2887">
            <w:pPr>
              <w:rPr>
                <w:sz w:val="22"/>
                <w:szCs w:val="22"/>
              </w:rPr>
            </w:pPr>
            <w:r w:rsidRPr="007B2887">
              <w:rPr>
                <w:b/>
                <w:sz w:val="22"/>
                <w:szCs w:val="22"/>
              </w:rPr>
              <w:t>Lead Agency Risk Management Plan</w:t>
            </w:r>
            <w:r>
              <w:rPr>
                <w:sz w:val="22"/>
                <w:szCs w:val="22"/>
              </w:rPr>
              <w:t xml:space="preserve"> </w:t>
            </w:r>
          </w:p>
          <w:p w:rsidR="003A4609" w:rsidRDefault="003A4609" w:rsidP="007B2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D59DB">
              <w:rPr>
                <w:sz w:val="22"/>
                <w:szCs w:val="22"/>
              </w:rPr>
              <w:t>hese fields must be completed</w:t>
            </w:r>
            <w:r>
              <w:rPr>
                <w:sz w:val="22"/>
                <w:szCs w:val="22"/>
              </w:rPr>
              <w:t>.</w:t>
            </w:r>
          </w:p>
          <w:p w:rsidR="003A4609" w:rsidRDefault="003A4609" w:rsidP="00310DE6">
            <w:pPr>
              <w:rPr>
                <w:b/>
                <w:sz w:val="24"/>
                <w:szCs w:val="24"/>
              </w:rPr>
            </w:pPr>
          </w:p>
          <w:p w:rsidR="003A4609" w:rsidRDefault="003A4609" w:rsidP="00310DE6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Supervision</w:t>
            </w:r>
          </w:p>
          <w:p w:rsidR="003A4609" w:rsidRDefault="003A4609" w:rsidP="007B2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Supervision is not limited to statutory supervision by the NPS but also includes engagement with any other agency that has a role in helping offenders lead law abiding lives</w:t>
            </w:r>
            <w:r w:rsidRPr="0098057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A4609" w:rsidRPr="0098057A" w:rsidRDefault="003A4609" w:rsidP="007B2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A4609" w:rsidRPr="0098057A" w:rsidRDefault="003A4609" w:rsidP="007B2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8057A">
              <w:rPr>
                <w:rFonts w:ascii="Arial" w:hAnsi="Arial" w:cs="Arial"/>
                <w:sz w:val="22"/>
                <w:szCs w:val="22"/>
              </w:rPr>
              <w:t xml:space="preserve">Examples of </w:t>
            </w:r>
            <w:r>
              <w:rPr>
                <w:rFonts w:ascii="Arial" w:hAnsi="Arial" w:cs="Arial"/>
                <w:sz w:val="22"/>
                <w:szCs w:val="22"/>
              </w:rPr>
              <w:t>supervision</w:t>
            </w:r>
            <w:r w:rsidRPr="0098057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A4609" w:rsidRPr="00BA545B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A545B">
              <w:rPr>
                <w:rFonts w:cs="Arial"/>
                <w:sz w:val="22"/>
                <w:szCs w:val="22"/>
              </w:rPr>
              <w:t>Office-based supervision.</w:t>
            </w:r>
          </w:p>
          <w:p w:rsidR="003A4609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A545B">
              <w:rPr>
                <w:rFonts w:cs="Arial"/>
                <w:sz w:val="22"/>
                <w:szCs w:val="22"/>
              </w:rPr>
              <w:t>Home visits (by police and probation) and other regular visits to the offender's premises.</w:t>
            </w:r>
          </w:p>
          <w:p w:rsidR="003A4609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Contact with healthcare professionals.</w:t>
            </w:r>
          </w:p>
          <w:p w:rsidR="003A4609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Interaction with staff in Approved Premises.</w:t>
            </w:r>
          </w:p>
          <w:p w:rsidR="003A4609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Tenancy support from Housing Associations.</w:t>
            </w:r>
          </w:p>
          <w:p w:rsidR="003A4609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Assistance from the Department of Work and Pensions (DWP) in finding work.</w:t>
            </w:r>
          </w:p>
          <w:p w:rsidR="003A4609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Actions to build on offenders’ strengths and protective factors.</w:t>
            </w:r>
          </w:p>
          <w:p w:rsidR="003A4609" w:rsidRPr="00BA545B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Curfews </w:t>
            </w:r>
          </w:p>
          <w:p w:rsidR="003A4609" w:rsidRDefault="003A4609" w:rsidP="00310DE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A4609" w:rsidRPr="007B2887" w:rsidRDefault="003A4609" w:rsidP="00310DE6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Monitoring and Control</w:t>
            </w:r>
          </w:p>
          <w:p w:rsidR="003A4609" w:rsidRDefault="003A4609" w:rsidP="007B2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Monitoring and control</w:t>
            </w:r>
            <w:r w:rsidRPr="0098057A">
              <w:rPr>
                <w:rFonts w:ascii="Arial" w:hAnsi="Arial" w:cs="Arial"/>
                <w:sz w:val="22"/>
                <w:szCs w:val="22"/>
              </w:rPr>
              <w:t xml:space="preserve"> are strategies </w:t>
            </w:r>
            <w:r>
              <w:rPr>
                <w:rFonts w:ascii="Arial" w:hAnsi="Arial" w:cs="Arial"/>
                <w:sz w:val="22"/>
                <w:szCs w:val="22"/>
              </w:rPr>
              <w:t>aimed at controlling and reducing opportunities for harmful behaviour.</w:t>
            </w:r>
          </w:p>
          <w:p w:rsidR="003A4609" w:rsidRPr="0098057A" w:rsidRDefault="003A4609" w:rsidP="007B2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A4609" w:rsidRPr="0098057A" w:rsidRDefault="003A4609" w:rsidP="007B2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8057A">
              <w:rPr>
                <w:rFonts w:ascii="Arial" w:hAnsi="Arial" w:cs="Arial"/>
                <w:sz w:val="22"/>
                <w:szCs w:val="22"/>
              </w:rPr>
              <w:t xml:space="preserve">Examples of </w:t>
            </w:r>
            <w:r>
              <w:rPr>
                <w:rFonts w:ascii="Arial" w:hAnsi="Arial" w:cs="Arial"/>
                <w:sz w:val="22"/>
                <w:szCs w:val="22"/>
              </w:rPr>
              <w:t>monitoring and control</w:t>
            </w:r>
            <w:r w:rsidRPr="0098057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A4609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A545B">
              <w:rPr>
                <w:rFonts w:cs="Arial"/>
                <w:sz w:val="22"/>
                <w:szCs w:val="22"/>
              </w:rPr>
              <w:t>The use of licence conditions</w:t>
            </w:r>
            <w:r>
              <w:rPr>
                <w:rFonts w:cs="Arial"/>
                <w:sz w:val="22"/>
                <w:szCs w:val="22"/>
              </w:rPr>
              <w:t xml:space="preserve"> (see PI 09/2015 for details).</w:t>
            </w:r>
          </w:p>
          <w:p w:rsidR="003A4609" w:rsidRPr="00410672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licence condition placing r</w:t>
            </w:r>
            <w:r w:rsidRPr="00BA545B">
              <w:rPr>
                <w:rFonts w:cs="Arial"/>
                <w:sz w:val="22"/>
                <w:szCs w:val="22"/>
              </w:rPr>
              <w:t>estrictions on residence, for example, residing at Approved Premises.</w:t>
            </w:r>
          </w:p>
          <w:p w:rsidR="003A4609" w:rsidRPr="00BA545B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A545B">
              <w:rPr>
                <w:rFonts w:cs="Arial"/>
                <w:sz w:val="22"/>
                <w:szCs w:val="22"/>
              </w:rPr>
              <w:t>Restrictions on associations, activities and movements.</w:t>
            </w:r>
          </w:p>
          <w:p w:rsidR="003A4609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BA545B">
              <w:rPr>
                <w:rFonts w:cs="Arial"/>
                <w:sz w:val="22"/>
                <w:szCs w:val="22"/>
              </w:rPr>
              <w:t>urveillance and electronic monitoring.</w:t>
            </w:r>
          </w:p>
          <w:p w:rsidR="003A4609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Polygraph examinations.</w:t>
            </w:r>
          </w:p>
          <w:p w:rsidR="003A4609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A545B">
              <w:rPr>
                <w:rFonts w:cs="Arial"/>
                <w:sz w:val="22"/>
                <w:szCs w:val="22"/>
              </w:rPr>
              <w:t>The use of Restrictive Orders.</w:t>
            </w:r>
          </w:p>
          <w:p w:rsidR="003A4609" w:rsidRPr="00BA545B" w:rsidRDefault="003A4609" w:rsidP="007B2887">
            <w:pPr>
              <w:rPr>
                <w:rFonts w:cs="Arial"/>
                <w:sz w:val="22"/>
                <w:szCs w:val="22"/>
              </w:rPr>
            </w:pPr>
          </w:p>
          <w:p w:rsidR="003A4609" w:rsidRPr="0098057A" w:rsidRDefault="003A4609" w:rsidP="007B2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8057A">
              <w:rPr>
                <w:rFonts w:ascii="Arial" w:hAnsi="Arial" w:cs="Arial"/>
                <w:sz w:val="22"/>
                <w:szCs w:val="22"/>
              </w:rPr>
              <w:t>Where offenders pose a continuing risk of serious harm, the police will consider whether these risks are high enough to justify applying for one of the following orders:</w:t>
            </w:r>
          </w:p>
          <w:p w:rsidR="003A4609" w:rsidRPr="0098057A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98057A">
              <w:rPr>
                <w:rFonts w:cs="Arial"/>
                <w:sz w:val="22"/>
                <w:szCs w:val="22"/>
              </w:rPr>
              <w:t>Notification Order (Sexual Offences Act 2003 (SOA 2003) sections 97 to 101).</w:t>
            </w:r>
          </w:p>
          <w:p w:rsidR="003A4609" w:rsidRPr="0098057A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98057A">
              <w:rPr>
                <w:rFonts w:cs="Arial"/>
                <w:sz w:val="22"/>
                <w:szCs w:val="22"/>
              </w:rPr>
              <w:t>Sexual Risk Order (SOA 2003 sections 122A to 122K).</w:t>
            </w:r>
          </w:p>
          <w:p w:rsidR="003A4609" w:rsidRPr="0098057A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98057A">
              <w:rPr>
                <w:rFonts w:cs="Arial"/>
                <w:sz w:val="22"/>
                <w:szCs w:val="22"/>
              </w:rPr>
              <w:t>Sexual Harm Prevention Order (SOA 2003 sections 103A to 103K).</w:t>
            </w:r>
          </w:p>
          <w:p w:rsidR="003A4609" w:rsidRPr="0098057A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98057A">
              <w:rPr>
                <w:rFonts w:cs="Arial"/>
                <w:sz w:val="22"/>
                <w:szCs w:val="22"/>
              </w:rPr>
              <w:t>Violent Offender Orders (Criminal Justice and Immigration Act 2008, Chapter 4, Part 8).</w:t>
            </w:r>
          </w:p>
          <w:p w:rsidR="003A4609" w:rsidRPr="007B2887" w:rsidRDefault="003A4609" w:rsidP="007B2887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A4609" w:rsidRPr="007B2887" w:rsidRDefault="003A4609" w:rsidP="00310DE6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7B2887">
              <w:rPr>
                <w:rFonts w:cs="Arial"/>
                <w:b/>
                <w:i/>
                <w:sz w:val="22"/>
                <w:szCs w:val="22"/>
              </w:rPr>
              <w:t>Interventions and Treatment</w:t>
            </w:r>
          </w:p>
          <w:p w:rsidR="003A4609" w:rsidRDefault="003A4609" w:rsidP="007B2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Interventions and treatment</w:t>
            </w:r>
            <w:r w:rsidRPr="0098057A">
              <w:rPr>
                <w:rFonts w:ascii="Arial" w:hAnsi="Arial" w:cs="Arial"/>
                <w:sz w:val="22"/>
                <w:szCs w:val="22"/>
              </w:rPr>
              <w:t xml:space="preserve"> are </w:t>
            </w:r>
            <w:r>
              <w:rPr>
                <w:rFonts w:ascii="Arial" w:hAnsi="Arial" w:cs="Arial"/>
                <w:sz w:val="22"/>
                <w:szCs w:val="22"/>
              </w:rPr>
              <w:t>activities</w:t>
            </w:r>
            <w:r w:rsidRPr="009805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that focus more on developing the offender’s own ability to avoid and manage risk situations</w:t>
            </w:r>
            <w:r w:rsidRPr="002645F1">
              <w:t xml:space="preserve"> </w:t>
            </w:r>
            <w:r w:rsidRPr="002645F1">
              <w:rPr>
                <w:rFonts w:ascii="Arial" w:hAnsi="Arial" w:cs="Arial"/>
                <w:sz w:val="22"/>
                <w:szCs w:val="22"/>
              </w:rPr>
              <w:t xml:space="preserve">and to build strengths and protective factors </w:t>
            </w:r>
            <w:r>
              <w:rPr>
                <w:rFonts w:ascii="Arial" w:hAnsi="Arial" w:cs="Arial"/>
                <w:sz w:val="22"/>
                <w:szCs w:val="22"/>
              </w:rPr>
              <w:t>that</w:t>
            </w:r>
            <w:r w:rsidRPr="002645F1">
              <w:rPr>
                <w:rFonts w:ascii="Arial" w:hAnsi="Arial" w:cs="Arial"/>
                <w:sz w:val="22"/>
                <w:szCs w:val="22"/>
              </w:rPr>
              <w:t xml:space="preserve"> enable desistance from offending</w:t>
            </w:r>
            <w:r w:rsidRPr="0098057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They may be mandatory, such as complying with a licence condition, or voluntary. They may include, but will not be limited to, accredited programmes.</w:t>
            </w:r>
          </w:p>
          <w:p w:rsidR="003A4609" w:rsidRPr="0098057A" w:rsidRDefault="003A4609" w:rsidP="007B2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A4609" w:rsidRPr="0098057A" w:rsidRDefault="003A4609" w:rsidP="007B2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8057A">
              <w:rPr>
                <w:rFonts w:ascii="Arial" w:hAnsi="Arial" w:cs="Arial"/>
                <w:sz w:val="22"/>
                <w:szCs w:val="22"/>
              </w:rPr>
              <w:t xml:space="preserve">Examples of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8057A">
              <w:rPr>
                <w:rFonts w:ascii="Arial" w:hAnsi="Arial" w:cs="Arial"/>
                <w:sz w:val="22"/>
                <w:szCs w:val="22"/>
              </w:rPr>
              <w:t>nterventions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treatment</w:t>
            </w:r>
            <w:r w:rsidRPr="0098057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A4609" w:rsidRPr="00BA545B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A545B">
              <w:rPr>
                <w:rFonts w:cs="Arial"/>
                <w:sz w:val="22"/>
                <w:szCs w:val="22"/>
              </w:rPr>
              <w:t>Attendance at accredited programmes, which address the causes of offending behaviour.</w:t>
            </w:r>
          </w:p>
          <w:p w:rsidR="003A4609" w:rsidRPr="00BA545B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A545B">
              <w:rPr>
                <w:rFonts w:cs="Arial"/>
                <w:sz w:val="22"/>
                <w:szCs w:val="22"/>
              </w:rPr>
              <w:t>Interventions that emphasise self-risk management and which promote the use of internal controls over the longer term.</w:t>
            </w:r>
          </w:p>
          <w:p w:rsidR="003A4609" w:rsidRPr="00BA545B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A545B">
              <w:rPr>
                <w:rFonts w:cs="Arial"/>
                <w:sz w:val="22"/>
                <w:szCs w:val="22"/>
              </w:rPr>
              <w:t>Interventions which combine intensive supervision with the appropriate use of sanctions and responding to non-compliance.</w:t>
            </w:r>
          </w:p>
          <w:p w:rsidR="003A4609" w:rsidRPr="00BA545B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A545B">
              <w:rPr>
                <w:rFonts w:cs="Arial"/>
                <w:sz w:val="22"/>
                <w:szCs w:val="22"/>
              </w:rPr>
              <w:t>Supportive and integrative approaches where risk assessments indicate their usefulness, e.g. Circles of Support and Accountability.</w:t>
            </w:r>
          </w:p>
          <w:p w:rsidR="003A4609" w:rsidRPr="00BA545B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A545B">
              <w:rPr>
                <w:rFonts w:cs="Arial"/>
                <w:sz w:val="22"/>
                <w:szCs w:val="22"/>
              </w:rPr>
              <w:t>Referral for medical or psychological interventions as required.</w:t>
            </w:r>
          </w:p>
          <w:p w:rsidR="003A4609" w:rsidRPr="00BA545B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A545B">
              <w:rPr>
                <w:rFonts w:cs="Arial"/>
                <w:sz w:val="22"/>
                <w:szCs w:val="22"/>
              </w:rPr>
              <w:t>Co-operation with drug and alcohol advisory services.</w:t>
            </w:r>
          </w:p>
          <w:p w:rsidR="003A4609" w:rsidRPr="00BA545B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A545B">
              <w:rPr>
                <w:rFonts w:cs="Arial"/>
                <w:sz w:val="22"/>
                <w:szCs w:val="22"/>
              </w:rPr>
              <w:t>Involvement in other activities to divert the offender from offending, such as appropriate employment or voluntary work.</w:t>
            </w:r>
          </w:p>
          <w:p w:rsidR="003A4609" w:rsidRDefault="003A4609" w:rsidP="00310DE6">
            <w:pPr>
              <w:jc w:val="both"/>
              <w:rPr>
                <w:sz w:val="22"/>
                <w:szCs w:val="22"/>
              </w:rPr>
            </w:pPr>
          </w:p>
          <w:p w:rsidR="003A4609" w:rsidRDefault="003A4609" w:rsidP="00310DE6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Victim Safety</w:t>
            </w:r>
          </w:p>
          <w:p w:rsidR="003A4609" w:rsidRDefault="003A4609" w:rsidP="008A3C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Victim safety strategies are designed to protect previous and </w:t>
            </w:r>
            <w:r w:rsidRPr="004F6B6F">
              <w:rPr>
                <w:rFonts w:cs="Arial"/>
                <w:i/>
                <w:sz w:val="22"/>
                <w:szCs w:val="22"/>
              </w:rPr>
              <w:t>potential</w:t>
            </w:r>
            <w:r>
              <w:rPr>
                <w:rFonts w:cs="Arial"/>
                <w:sz w:val="22"/>
                <w:szCs w:val="22"/>
              </w:rPr>
              <w:t xml:space="preserve"> victims from harm. </w:t>
            </w:r>
          </w:p>
          <w:p w:rsidR="003A4609" w:rsidRDefault="003A4609" w:rsidP="008A3CB7">
            <w:pPr>
              <w:rPr>
                <w:rFonts w:cs="Arial"/>
                <w:sz w:val="22"/>
                <w:szCs w:val="22"/>
              </w:rPr>
            </w:pPr>
          </w:p>
          <w:p w:rsidR="003A4609" w:rsidRDefault="003A4609" w:rsidP="008A3C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Examples of victim safety actions:</w:t>
            </w:r>
          </w:p>
          <w:p w:rsidR="003A4609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86A34">
              <w:rPr>
                <w:rFonts w:cs="Arial"/>
                <w:sz w:val="22"/>
                <w:szCs w:val="22"/>
              </w:rPr>
              <w:t>The disclosure of information to third parties.</w:t>
            </w:r>
          </w:p>
          <w:p w:rsidR="003A4609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Relocation of the victim.</w:t>
            </w:r>
          </w:p>
          <w:p w:rsidR="003A4609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Action by Children’s Services.</w:t>
            </w:r>
          </w:p>
          <w:p w:rsidR="003A4609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Exclusion zones and non-contact licence conditions.</w:t>
            </w:r>
          </w:p>
          <w:p w:rsidR="003A4609" w:rsidRPr="00586A34" w:rsidRDefault="003A4609" w:rsidP="008A3CB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Restraining Orders and other orders made by the Family Court</w:t>
            </w:r>
          </w:p>
          <w:p w:rsidR="003A4609" w:rsidRDefault="003A4609" w:rsidP="008A3CB7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A4609" w:rsidRDefault="003A4609" w:rsidP="008A3CB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98057A">
              <w:rPr>
                <w:rFonts w:cs="Arial"/>
                <w:b/>
                <w:sz w:val="22"/>
                <w:szCs w:val="22"/>
              </w:rPr>
              <w:t>ontingency Plans</w:t>
            </w:r>
          </w:p>
          <w:p w:rsidR="003A4609" w:rsidRDefault="003A4609" w:rsidP="008A3CB7">
            <w:pPr>
              <w:rPr>
                <w:rFonts w:cs="Arial"/>
                <w:sz w:val="22"/>
                <w:szCs w:val="22"/>
              </w:rPr>
            </w:pPr>
            <w:r w:rsidRPr="009F0868">
              <w:rPr>
                <w:rFonts w:cs="Arial"/>
                <w:sz w:val="22"/>
                <w:szCs w:val="22"/>
              </w:rPr>
              <w:t xml:space="preserve">Contingency plans should be included in all </w:t>
            </w:r>
            <w:r>
              <w:rPr>
                <w:rFonts w:cs="Arial"/>
                <w:sz w:val="22"/>
                <w:szCs w:val="22"/>
              </w:rPr>
              <w:t>RMPs</w:t>
            </w:r>
            <w:r w:rsidRPr="009F0868">
              <w:rPr>
                <w:rFonts w:cs="Arial"/>
                <w:sz w:val="22"/>
                <w:szCs w:val="22"/>
              </w:rPr>
              <w:t>. The</w:t>
            </w:r>
            <w:r>
              <w:rPr>
                <w:rFonts w:cs="Arial"/>
                <w:sz w:val="22"/>
                <w:szCs w:val="22"/>
              </w:rPr>
              <w:t>y</w:t>
            </w:r>
            <w:r w:rsidRPr="009F0868">
              <w:rPr>
                <w:rFonts w:cs="Arial"/>
                <w:sz w:val="22"/>
                <w:szCs w:val="22"/>
              </w:rPr>
              <w:t xml:space="preserve"> will include rapid response arrangements to changing situations or a deterioration in circumstances or behaviours.</w:t>
            </w:r>
            <w:r>
              <w:rPr>
                <w:rFonts w:cs="Arial"/>
                <w:sz w:val="22"/>
                <w:szCs w:val="22"/>
              </w:rPr>
              <w:t xml:space="preserve"> The following factors are associated with escalating risk.</w:t>
            </w:r>
          </w:p>
          <w:p w:rsidR="003A4609" w:rsidRDefault="003A4609" w:rsidP="008A3CB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change in situational risk e.g. increased proximity to victims, increased opportunity to offend in other ways, change in family circumstances etc.</w:t>
            </w:r>
          </w:p>
          <w:p w:rsidR="003A4609" w:rsidRDefault="003A4609" w:rsidP="008A3CB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Deterioration in lifestyle e.g. loss of accommodation, relapse into drug or alcohol use, increased association with offending peers etc. </w:t>
            </w:r>
          </w:p>
          <w:p w:rsidR="003A4609" w:rsidRDefault="003A4609" w:rsidP="008A3CB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Psychological factors e.g. increased preoccupation with offending or offending related issues, deterioration in mental or psychological wellbeing etc.</w:t>
            </w:r>
          </w:p>
          <w:p w:rsidR="003A4609" w:rsidRPr="00410672" w:rsidRDefault="003A4609" w:rsidP="008A3CB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Breakdown in supervision e.g. missing appointments, superficial compliance etc. </w:t>
            </w:r>
          </w:p>
          <w:p w:rsidR="003A4609" w:rsidRPr="00470E22" w:rsidRDefault="003A4609" w:rsidP="008A3CB7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A4609">
        <w:trPr>
          <w:trHeight w:val="167"/>
        </w:trPr>
        <w:tc>
          <w:tcPr>
            <w:tcW w:w="10080" w:type="dxa"/>
            <w:shd w:val="clear" w:color="auto" w:fill="E6E6E6"/>
          </w:tcPr>
          <w:p w:rsidR="003A4609" w:rsidRPr="00501822" w:rsidRDefault="003A4609" w:rsidP="004857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4F4B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ADDITIONAL MAPPA INVITEES</w:t>
            </w:r>
          </w:p>
        </w:tc>
      </w:tr>
      <w:tr w:rsidR="003A4609">
        <w:trPr>
          <w:trHeight w:val="1140"/>
        </w:trPr>
        <w:tc>
          <w:tcPr>
            <w:tcW w:w="10080" w:type="dxa"/>
          </w:tcPr>
          <w:p w:rsidR="003A4609" w:rsidRDefault="003A4609" w:rsidP="00310DE6">
            <w:pPr>
              <w:ind w:left="60"/>
              <w:rPr>
                <w:sz w:val="22"/>
                <w:szCs w:val="22"/>
              </w:rPr>
            </w:pPr>
          </w:p>
          <w:p w:rsidR="003A4609" w:rsidRPr="004A7E29" w:rsidRDefault="003A4609" w:rsidP="0048575F">
            <w:pPr>
              <w:rPr>
                <w:sz w:val="22"/>
                <w:szCs w:val="22"/>
              </w:rPr>
            </w:pPr>
            <w:r w:rsidRPr="004A7E29">
              <w:rPr>
                <w:sz w:val="22"/>
                <w:szCs w:val="22"/>
              </w:rPr>
              <w:t xml:space="preserve">Invite 1 must be completed by the referring agency identifying themselves. </w:t>
            </w:r>
            <w:r>
              <w:rPr>
                <w:sz w:val="22"/>
                <w:szCs w:val="22"/>
              </w:rPr>
              <w:t>T</w:t>
            </w:r>
            <w:r w:rsidRPr="004A7E29">
              <w:rPr>
                <w:sz w:val="22"/>
                <w:szCs w:val="22"/>
              </w:rPr>
              <w:t>his will identify who needs to be sent an invitation to the meeting when the case is to be discussed</w:t>
            </w:r>
            <w:r>
              <w:rPr>
                <w:sz w:val="22"/>
                <w:szCs w:val="22"/>
              </w:rPr>
              <w:t>.</w:t>
            </w:r>
          </w:p>
          <w:p w:rsidR="003A4609" w:rsidRDefault="003A4609" w:rsidP="0048575F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referring agency should also consider which other agencies would assist in the assessment and management of the risk posed by the offender. </w:t>
            </w:r>
            <w:r w:rsidRPr="00501822">
              <w:rPr>
                <w:sz w:val="22"/>
                <w:szCs w:val="22"/>
              </w:rPr>
              <w:t>If there are more th</w:t>
            </w:r>
            <w:r>
              <w:rPr>
                <w:sz w:val="22"/>
                <w:szCs w:val="22"/>
              </w:rPr>
              <w:t>a</w:t>
            </w:r>
            <w:r w:rsidRPr="00501822">
              <w:rPr>
                <w:sz w:val="22"/>
                <w:szCs w:val="22"/>
              </w:rPr>
              <w:t>n six, complete on a separate sheet and attach to the referral</w:t>
            </w:r>
          </w:p>
          <w:p w:rsidR="003A4609" w:rsidRPr="00501822" w:rsidRDefault="003A4609" w:rsidP="0048575F">
            <w:pPr>
              <w:rPr>
                <w:sz w:val="22"/>
                <w:szCs w:val="22"/>
              </w:rPr>
            </w:pPr>
          </w:p>
        </w:tc>
      </w:tr>
      <w:tr w:rsidR="003A4609">
        <w:trPr>
          <w:trHeight w:val="164"/>
        </w:trPr>
        <w:tc>
          <w:tcPr>
            <w:tcW w:w="10080" w:type="dxa"/>
            <w:shd w:val="clear" w:color="auto" w:fill="E6E6E6"/>
          </w:tcPr>
          <w:p w:rsidR="003A4609" w:rsidRPr="00501822" w:rsidRDefault="003A4609" w:rsidP="00485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REFERRING AGENCY INFORMATION</w:t>
            </w:r>
          </w:p>
        </w:tc>
      </w:tr>
      <w:tr w:rsidR="003A4609">
        <w:trPr>
          <w:trHeight w:val="600"/>
        </w:trPr>
        <w:tc>
          <w:tcPr>
            <w:tcW w:w="10080" w:type="dxa"/>
          </w:tcPr>
          <w:p w:rsidR="003A4609" w:rsidRDefault="003A4609" w:rsidP="00310DE6">
            <w:pPr>
              <w:ind w:left="60"/>
              <w:rPr>
                <w:sz w:val="22"/>
                <w:szCs w:val="22"/>
              </w:rPr>
            </w:pPr>
          </w:p>
          <w:p w:rsidR="003A4609" w:rsidRDefault="003A4609" w:rsidP="0048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m</w:t>
            </w:r>
            <w:r w:rsidRPr="00501822">
              <w:rPr>
                <w:sz w:val="22"/>
                <w:szCs w:val="22"/>
              </w:rPr>
              <w:t>ust be fully completed</w:t>
            </w:r>
            <w:r>
              <w:rPr>
                <w:sz w:val="22"/>
                <w:szCs w:val="22"/>
              </w:rPr>
              <w:t xml:space="preserve"> and endorsed by the</w:t>
            </w:r>
            <w:r w:rsidRPr="00501822">
              <w:rPr>
                <w:sz w:val="22"/>
                <w:szCs w:val="22"/>
              </w:rPr>
              <w:t xml:space="preserve"> line man</w:t>
            </w:r>
            <w:r>
              <w:rPr>
                <w:sz w:val="22"/>
                <w:szCs w:val="22"/>
              </w:rPr>
              <w:t>ager (</w:t>
            </w:r>
            <w:r w:rsidRPr="00501822">
              <w:rPr>
                <w:sz w:val="22"/>
                <w:szCs w:val="22"/>
              </w:rPr>
              <w:t>this ensures that the line manager is fully aware of the case and the reason for the referral to MAPPA</w:t>
            </w:r>
            <w:r>
              <w:rPr>
                <w:sz w:val="22"/>
                <w:szCs w:val="22"/>
              </w:rPr>
              <w:t>)</w:t>
            </w:r>
            <w:r w:rsidRPr="0050182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For Mental Health Services, it may be more appropriate for a Doctor or other senior member of the team to endorse the form. </w:t>
            </w:r>
            <w:r w:rsidRPr="00501822">
              <w:rPr>
                <w:sz w:val="22"/>
                <w:szCs w:val="22"/>
              </w:rPr>
              <w:t xml:space="preserve">If the referral is being completed by a </w:t>
            </w:r>
            <w:r>
              <w:rPr>
                <w:sz w:val="22"/>
                <w:szCs w:val="22"/>
              </w:rPr>
              <w:t>line m</w:t>
            </w:r>
            <w:r w:rsidRPr="00501822">
              <w:rPr>
                <w:sz w:val="22"/>
                <w:szCs w:val="22"/>
              </w:rPr>
              <w:t>anager, the referral does not require endorsement if agreed by local agency protocol</w:t>
            </w:r>
            <w:r>
              <w:rPr>
                <w:sz w:val="22"/>
                <w:szCs w:val="22"/>
              </w:rPr>
              <w:t>.</w:t>
            </w:r>
          </w:p>
          <w:p w:rsidR="003A4609" w:rsidRPr="00501822" w:rsidRDefault="003A4609" w:rsidP="0048575F">
            <w:pPr>
              <w:rPr>
                <w:sz w:val="22"/>
                <w:szCs w:val="22"/>
              </w:rPr>
            </w:pPr>
          </w:p>
        </w:tc>
      </w:tr>
      <w:tr w:rsidR="003A4609">
        <w:trPr>
          <w:trHeight w:val="155"/>
        </w:trPr>
        <w:tc>
          <w:tcPr>
            <w:tcW w:w="10080" w:type="dxa"/>
            <w:shd w:val="clear" w:color="auto" w:fill="E6E6E6"/>
          </w:tcPr>
          <w:p w:rsidR="003A4609" w:rsidRPr="00501822" w:rsidRDefault="003A4609" w:rsidP="00310D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4F4BF1">
              <w:rPr>
                <w:b/>
                <w:sz w:val="24"/>
                <w:szCs w:val="24"/>
              </w:rPr>
              <w:t xml:space="preserve">. </w:t>
            </w:r>
            <w:r w:rsidRPr="00720488">
              <w:rPr>
                <w:rFonts w:cs="Arial"/>
                <w:b/>
                <w:sz w:val="24"/>
                <w:szCs w:val="24"/>
              </w:rPr>
              <w:t>MAPPA CO-ORDINATION UNIT</w:t>
            </w:r>
            <w:r>
              <w:rPr>
                <w:rFonts w:cs="Arial"/>
                <w:b/>
                <w:sz w:val="24"/>
                <w:szCs w:val="24"/>
              </w:rPr>
              <w:t xml:space="preserve">/ RESPONSIBLE AUTHORITY </w:t>
            </w:r>
            <w:r w:rsidRPr="00720488">
              <w:rPr>
                <w:rFonts w:cs="Arial"/>
                <w:b/>
                <w:sz w:val="24"/>
                <w:szCs w:val="24"/>
              </w:rPr>
              <w:t>DECISION</w:t>
            </w:r>
          </w:p>
        </w:tc>
      </w:tr>
      <w:tr w:rsidR="003A4609">
        <w:trPr>
          <w:trHeight w:val="235"/>
        </w:trPr>
        <w:tc>
          <w:tcPr>
            <w:tcW w:w="10080" w:type="dxa"/>
          </w:tcPr>
          <w:p w:rsidR="003A4609" w:rsidRDefault="003A4609" w:rsidP="00310DE6">
            <w:pPr>
              <w:rPr>
                <w:sz w:val="22"/>
                <w:szCs w:val="22"/>
              </w:rPr>
            </w:pPr>
          </w:p>
          <w:p w:rsidR="003A4609" w:rsidRDefault="003A4609" w:rsidP="00310DE6">
            <w:pPr>
              <w:rPr>
                <w:sz w:val="22"/>
                <w:szCs w:val="22"/>
              </w:rPr>
            </w:pPr>
            <w:r w:rsidRPr="00501822">
              <w:rPr>
                <w:sz w:val="22"/>
                <w:szCs w:val="22"/>
              </w:rPr>
              <w:t>This section should be complete</w:t>
            </w:r>
            <w:r>
              <w:rPr>
                <w:sz w:val="22"/>
                <w:szCs w:val="22"/>
              </w:rPr>
              <w:t>d</w:t>
            </w:r>
            <w:r w:rsidRPr="005018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appropriate to the SMB endorsed local process. </w:t>
            </w:r>
          </w:p>
          <w:p w:rsidR="003A4609" w:rsidRPr="00501822" w:rsidRDefault="003A4609" w:rsidP="00310DE6">
            <w:pPr>
              <w:rPr>
                <w:sz w:val="22"/>
                <w:szCs w:val="22"/>
              </w:rPr>
            </w:pPr>
          </w:p>
        </w:tc>
      </w:tr>
    </w:tbl>
    <w:p w:rsidR="003A4609" w:rsidRDefault="003A4609"/>
    <w:sectPr w:rsidR="003A4609" w:rsidSect="006E4117">
      <w:pgSz w:w="11906" w:h="16838"/>
      <w:pgMar w:top="1440" w:right="1797" w:bottom="71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6D2"/>
    <w:multiLevelType w:val="multilevel"/>
    <w:tmpl w:val="816A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47612"/>
    <w:multiLevelType w:val="hybridMultilevel"/>
    <w:tmpl w:val="9E64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6010"/>
    <w:multiLevelType w:val="hybridMultilevel"/>
    <w:tmpl w:val="91BA14F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3524274"/>
    <w:multiLevelType w:val="hybridMultilevel"/>
    <w:tmpl w:val="B32E9F92"/>
    <w:lvl w:ilvl="0" w:tplc="D4EA9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96167"/>
    <w:multiLevelType w:val="multilevel"/>
    <w:tmpl w:val="F078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20221"/>
    <w:multiLevelType w:val="hybridMultilevel"/>
    <w:tmpl w:val="DB1A2F2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2117E0E"/>
    <w:multiLevelType w:val="hybridMultilevel"/>
    <w:tmpl w:val="0878419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8861B8B"/>
    <w:multiLevelType w:val="hybridMultilevel"/>
    <w:tmpl w:val="91948624"/>
    <w:lvl w:ilvl="0" w:tplc="4FB092E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3C055B5"/>
    <w:multiLevelType w:val="hybridMultilevel"/>
    <w:tmpl w:val="75FA5D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834BD9"/>
    <w:multiLevelType w:val="multilevel"/>
    <w:tmpl w:val="22F69D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A473F78"/>
    <w:multiLevelType w:val="hybridMultilevel"/>
    <w:tmpl w:val="581449E2"/>
    <w:lvl w:ilvl="0" w:tplc="95CE779C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1D259E"/>
    <w:multiLevelType w:val="multilevel"/>
    <w:tmpl w:val="A07E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A6A42"/>
    <w:multiLevelType w:val="hybridMultilevel"/>
    <w:tmpl w:val="153E5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67160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291C2E"/>
    <w:multiLevelType w:val="hybridMultilevel"/>
    <w:tmpl w:val="7F742B9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E0419BB"/>
    <w:multiLevelType w:val="hybridMultilevel"/>
    <w:tmpl w:val="AEB0379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E373F55"/>
    <w:multiLevelType w:val="hybridMultilevel"/>
    <w:tmpl w:val="BCFA78E6"/>
    <w:lvl w:ilvl="0" w:tplc="EFEAA1E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A022B9"/>
    <w:multiLevelType w:val="hybridMultilevel"/>
    <w:tmpl w:val="9C34FE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F4A2A0C"/>
    <w:multiLevelType w:val="hybridMultilevel"/>
    <w:tmpl w:val="00CAB07E"/>
    <w:lvl w:ilvl="0" w:tplc="64F0B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4975F6"/>
    <w:multiLevelType w:val="hybridMultilevel"/>
    <w:tmpl w:val="8DDC93D8"/>
    <w:lvl w:ilvl="0" w:tplc="95CE779C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CC5A1B"/>
    <w:multiLevelType w:val="hybridMultilevel"/>
    <w:tmpl w:val="F0C8E4C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B566383"/>
    <w:multiLevelType w:val="hybridMultilevel"/>
    <w:tmpl w:val="AB902100"/>
    <w:lvl w:ilvl="0" w:tplc="2CF40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F37431"/>
    <w:multiLevelType w:val="multilevel"/>
    <w:tmpl w:val="957C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5"/>
  </w:num>
  <w:num w:numId="5">
    <w:abstractNumId w:val="17"/>
  </w:num>
  <w:num w:numId="6">
    <w:abstractNumId w:val="8"/>
  </w:num>
  <w:num w:numId="7">
    <w:abstractNumId w:val="16"/>
  </w:num>
  <w:num w:numId="8">
    <w:abstractNumId w:val="14"/>
  </w:num>
  <w:num w:numId="9">
    <w:abstractNumId w:val="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13"/>
  </w:num>
  <w:num w:numId="19">
    <w:abstractNumId w:val="2"/>
  </w:num>
  <w:num w:numId="20">
    <w:abstractNumId w:val="9"/>
  </w:num>
  <w:num w:numId="21">
    <w:abstractNumId w:val="19"/>
  </w:num>
  <w:num w:numId="22">
    <w:abstractNumId w:val="7"/>
  </w:num>
  <w:num w:numId="23">
    <w:abstractNumId w:val="4"/>
  </w:num>
  <w:num w:numId="24">
    <w:abstractNumId w:val="11"/>
  </w:num>
  <w:num w:numId="25">
    <w:abstractNumId w:val="0"/>
  </w:num>
  <w:num w:numId="26">
    <w:abstractNumId w:val="21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6A2"/>
    <w:rsid w:val="00051E6A"/>
    <w:rsid w:val="000616A3"/>
    <w:rsid w:val="000670F5"/>
    <w:rsid w:val="00092ED2"/>
    <w:rsid w:val="000C6F60"/>
    <w:rsid w:val="000D162D"/>
    <w:rsid w:val="000D584E"/>
    <w:rsid w:val="001A337C"/>
    <w:rsid w:val="002024D3"/>
    <w:rsid w:val="00231568"/>
    <w:rsid w:val="002645F1"/>
    <w:rsid w:val="002677F0"/>
    <w:rsid w:val="002B2089"/>
    <w:rsid w:val="002C0C76"/>
    <w:rsid w:val="002F3D7C"/>
    <w:rsid w:val="00310DE6"/>
    <w:rsid w:val="0039307D"/>
    <w:rsid w:val="003A4609"/>
    <w:rsid w:val="003B4C81"/>
    <w:rsid w:val="003E4CD5"/>
    <w:rsid w:val="00410672"/>
    <w:rsid w:val="00413DED"/>
    <w:rsid w:val="00425410"/>
    <w:rsid w:val="004460DE"/>
    <w:rsid w:val="00470E22"/>
    <w:rsid w:val="0048575F"/>
    <w:rsid w:val="004A7E29"/>
    <w:rsid w:val="004C0EEF"/>
    <w:rsid w:val="004C3371"/>
    <w:rsid w:val="004F3620"/>
    <w:rsid w:val="004F4BF1"/>
    <w:rsid w:val="004F626D"/>
    <w:rsid w:val="004F6B6F"/>
    <w:rsid w:val="00501822"/>
    <w:rsid w:val="005208BD"/>
    <w:rsid w:val="00586A34"/>
    <w:rsid w:val="005D5DAE"/>
    <w:rsid w:val="006273C2"/>
    <w:rsid w:val="00683E55"/>
    <w:rsid w:val="006B6EE5"/>
    <w:rsid w:val="006E4117"/>
    <w:rsid w:val="00702CB6"/>
    <w:rsid w:val="00720488"/>
    <w:rsid w:val="00764A22"/>
    <w:rsid w:val="00790304"/>
    <w:rsid w:val="007B2887"/>
    <w:rsid w:val="007E565D"/>
    <w:rsid w:val="00850D48"/>
    <w:rsid w:val="00870D3A"/>
    <w:rsid w:val="008A3CB7"/>
    <w:rsid w:val="008C359A"/>
    <w:rsid w:val="008D107E"/>
    <w:rsid w:val="009066A2"/>
    <w:rsid w:val="009266A6"/>
    <w:rsid w:val="0098057A"/>
    <w:rsid w:val="00981F9E"/>
    <w:rsid w:val="009B5CF4"/>
    <w:rsid w:val="009E15D2"/>
    <w:rsid w:val="009F0868"/>
    <w:rsid w:val="00AB259F"/>
    <w:rsid w:val="00AD78EB"/>
    <w:rsid w:val="00AE5111"/>
    <w:rsid w:val="00B207AA"/>
    <w:rsid w:val="00B225D4"/>
    <w:rsid w:val="00B34E75"/>
    <w:rsid w:val="00B7197D"/>
    <w:rsid w:val="00B71EAF"/>
    <w:rsid w:val="00B94F64"/>
    <w:rsid w:val="00BA545B"/>
    <w:rsid w:val="00C4583B"/>
    <w:rsid w:val="00CC4899"/>
    <w:rsid w:val="00CF7D1D"/>
    <w:rsid w:val="00D06C30"/>
    <w:rsid w:val="00DC1794"/>
    <w:rsid w:val="00DD59DB"/>
    <w:rsid w:val="00DF30D3"/>
    <w:rsid w:val="00E15105"/>
    <w:rsid w:val="00ED1CBB"/>
    <w:rsid w:val="00ED5D24"/>
    <w:rsid w:val="00F023D1"/>
    <w:rsid w:val="00F06365"/>
    <w:rsid w:val="00F54CD6"/>
    <w:rsid w:val="00FA1063"/>
    <w:rsid w:val="00FA1EF6"/>
    <w:rsid w:val="00F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A2"/>
    <w:rPr>
      <w:rFonts w:ascii="Arial" w:hAnsi="Arial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66A2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166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066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5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4A"/>
    <w:rPr>
      <w:sz w:val="0"/>
      <w:szCs w:val="0"/>
    </w:rPr>
  </w:style>
  <w:style w:type="paragraph" w:styleId="NormalWeb">
    <w:name w:val="Normal (Web)"/>
    <w:basedOn w:val="Normal"/>
    <w:uiPriority w:val="99"/>
    <w:rsid w:val="007B28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B2887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rsid w:val="007B288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B2887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B288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A3CB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7E29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A7E29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1501</Words>
  <Characters>8559</Characters>
  <Application>Microsoft Office Outlook</Application>
  <DocSecurity>0</DocSecurity>
  <Lines>0</Lines>
  <Paragraphs>0</Paragraphs>
  <ScaleCrop>false</ScaleCrop>
  <Company>Leicestershire Constabulary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7699</dc:creator>
  <cp:keywords/>
  <dc:description/>
  <cp:lastModifiedBy>jacquelinefodennps</cp:lastModifiedBy>
  <cp:revision>2</cp:revision>
  <cp:lastPrinted>2011-05-23T10:13:00Z</cp:lastPrinted>
  <dcterms:created xsi:type="dcterms:W3CDTF">2017-01-11T16:51:00Z</dcterms:created>
  <dcterms:modified xsi:type="dcterms:W3CDTF">2017-01-11T16:51:00Z</dcterms:modified>
</cp:coreProperties>
</file>